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方正小标宋简体"/>
          <w:color w:val="000000" w:themeColor="text1"/>
          <w:sz w:val="32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简体"/>
          <w:color w:val="000000" w:themeColor="text1"/>
          <w:sz w:val="32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2019年度河南省法学研究课题立项名单</w:t>
      </w:r>
    </w:p>
    <w:tbl>
      <w:tblPr>
        <w:tblStyle w:val="4"/>
        <w:tblW w:w="9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992"/>
        <w:gridCol w:w="994"/>
        <w:gridCol w:w="2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党内法规与国家法律协调衔接机制研究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谭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河南省黑恶势力犯罪新动向及司法对策研究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王东阳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省委政法委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扫黑除恶专项斗争中司法疑难问题研究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李慧织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郑州市人民检察院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扫黑除恶专项斗争中黑恶势力的司法认定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王鹏祥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河南省非法收车黑恶犯罪司法对策研究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张四化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省委政法委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市域社会治理现代化体系构建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李林启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法治维度下监察全覆盖中的协调与衔接机制研究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吴乐乐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省政府发展研究中心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检察院与监察委办案证据衔接研究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李明</w:t>
            </w: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璗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大数据和人工智能司法运用问题研究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人民法庭参与基层社会治理体制机制研究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刘天华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环境民事公益诉讼执行制度完善研究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范战平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检察公益诉讼鉴定问题研究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李丽娟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河南检察职业学院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律师惩戒制度研究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马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河南天欣律师事务所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河南自贸区物流法律体系若干问题及建议研究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刘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河南省自贸区地方立法问题研究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王云鹏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社会心理服务体系建设的探索与思考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李军霞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焦作师范高等专科学校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青少年犯罪预防与社会心理服务体系构建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司凌丽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信阳市政协教科卫体委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信访工作中矛盾调解的心理策略及运用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邪教人员教育转化中心理干预体系建设的探索与思考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孙喜新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中原油田党委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w w:val="90"/>
                <w:kern w:val="0"/>
                <w:sz w:val="24"/>
              </w:rPr>
              <w:t>组织法（规）视野下党政机关合署办公问题研究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孙敬良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依法行政基本要求在执法中的适用与司法裁判标准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王红建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适用《反恐怖主义法》进行行政处罚问题研究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葛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郑州市公安局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河南省僵尸企业处置中的疑难问题及解决方案</w:t>
            </w:r>
          </w:p>
        </w:tc>
        <w:tc>
          <w:tcPr>
            <w:tcW w:w="3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省法学会破产法学研究会</w:t>
            </w:r>
          </w:p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河南省僵尸关联企业合并破产制度研究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樊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民营经济平等保护法律问题研究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张静静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河南若讷律师事务所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河南省区域性股权市场投资人权益保护问题研究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魏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河南上市公司合规性研究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桂爱勤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网络版权交易商事规则研究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史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黄河科技学院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河南省宅基地复垦券制度实证研究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吕军书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地下空间权属法律问题研究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潘巧红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河南城建学院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普惠金融法律问题研究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王深德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人行郑州中心支行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完善地方税体系研究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张中亮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网络安全法实施背景下漏洞挖掘行为的法律规制研究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戚笑雨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网络信息犯罪管辖权问题研究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韩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开封大学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人工智能的刑事风险及刑法规制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张秋芳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正当防卫司法认定标准问题研究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姜保忠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酒驾类交通肇事罪缓刑运用问题研究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陈殿福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商丘市中级人民法院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监禁刑与非监禁刑衔接问题研究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胡宝刚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省法学会监狱法学研究会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河南省生态环境损害赔偿纠纷解决机制研究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刘铁柱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省人大常委会环资工委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污染环境罪争议问题研究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杜少尉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新发展理念视域下生态补偿制度研究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郑州航空港区对接国际航空碳排放交易体系的法律机制研究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威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“一带一路”背景下涉外仲裁司法审查机制完善研究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郭德香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我国契约精神的历史溯源与现代建构问题研究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王云红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秦汉时期司法责任追究制度研究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朱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潇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虚假公证的识别和规制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靳建丽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医生执业过程中权利保护问题研究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王利亚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河南省司法鉴定高标准建设问题研究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张好勤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省法学会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司法鉴定学研究会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失独家庭养老社区照顾模式探究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崔凌云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河南省妇女干部学校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HNLS(2019)50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spacing w:val="-20"/>
                <w:w w:val="87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spacing w:val="-20"/>
                <w:w w:val="87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“互联网+”背景下高校大学生网络舆情法律引导机制构建研究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孙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璐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河南财政金融学院</w:t>
            </w:r>
          </w:p>
        </w:tc>
      </w:tr>
    </w:tbl>
    <w:p>
      <w:pP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20" w:type="dxa"/>
            <w:tcBorders>
              <w:left w:val="nil"/>
              <w:right w:val="nil"/>
            </w:tcBorders>
            <w:vAlign w:val="center"/>
          </w:tcPr>
          <w:p>
            <w:pPr>
              <w:ind w:firstLine="150" w:firstLineChars="50"/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河南省法学会      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2019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spacing w:line="140" w:lineRule="exact"/>
        <w:ind w:right="198"/>
        <w:jc w:val="righ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201"/>
        <w:jc w:val="righ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88795" cy="476885"/>
            <wp:effectExtent l="0" t="0" r="1905" b="18415"/>
            <wp:docPr id="1" name="图片 1" descr="C:\Users\L\Desktop\微信图片_201905101547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\Desktop\微信图片_2019051015473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361" w:right="1588" w:bottom="1247" w:left="158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4B5"/>
    <w:rsid w:val="17463739"/>
    <w:rsid w:val="6941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2019-05-16T08:21:00Z</dcterms:created>
  <dc:creator>Have</dc:creator>
  <cp:lastModifiedBy>Have</cp:lastModifiedBy>
  <dcterms:modified xsi:type="dcterms:W3CDTF">2019-05-16T09:17:38Z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