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4B" w:rsidRDefault="00421C4B" w:rsidP="00421C4B">
      <w:pPr>
        <w:rPr>
          <w:rFonts w:ascii="黑体" w:eastAsia="黑体" w:hAnsi="黑体"/>
          <w:b/>
          <w:color w:val="000000" w:themeColor="text1"/>
          <w:szCs w:val="32"/>
        </w:rPr>
      </w:pPr>
      <w:r>
        <w:rPr>
          <w:rFonts w:ascii="黑体" w:eastAsia="黑体" w:hAnsi="黑体" w:hint="eastAsia"/>
          <w:b/>
          <w:color w:val="000000" w:themeColor="text1"/>
          <w:szCs w:val="32"/>
        </w:rPr>
        <w:t>附件3</w:t>
      </w:r>
    </w:p>
    <w:p w:rsidR="00421C4B" w:rsidRDefault="00421C4B" w:rsidP="00421C4B">
      <w:pPr>
        <w:rPr>
          <w:rFonts w:ascii="黑体" w:eastAsia="黑体" w:hAnsi="黑体"/>
          <w:b/>
          <w:color w:val="000000" w:themeColor="text1"/>
          <w:szCs w:val="32"/>
        </w:rPr>
      </w:pPr>
    </w:p>
    <w:p w:rsidR="00421C4B" w:rsidRDefault="00421C4B" w:rsidP="00421C4B">
      <w:pPr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2017年度河南省法学研究课题指南</w:t>
      </w:r>
    </w:p>
    <w:p w:rsidR="00421C4B" w:rsidRPr="003C0521" w:rsidRDefault="00421C4B" w:rsidP="00421C4B">
      <w:pPr>
        <w:rPr>
          <w:rFonts w:ascii="方正小标宋简体" w:eastAsia="方正小标宋简体"/>
          <w:b/>
          <w:color w:val="000000" w:themeColor="text1"/>
          <w:sz w:val="22"/>
          <w:szCs w:val="44"/>
        </w:rPr>
      </w:pP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社会主义核心价值观融入法治河南建设研究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《民法总则》实施法律问题研究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河南依法推进司法改革理论与实践研究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地方立法良法路径研究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5.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政法文化建设的现状、问题及建议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6.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政府法律顾问制度研究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7.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创新驱动战略</w:t>
      </w:r>
      <w:proofErr w:type="gramStart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下地方</w:t>
      </w:r>
      <w:proofErr w:type="gramEnd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科技体制的法治保障研究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8.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社会治理视角下新媒体的作用发挥探析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9.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供给</w:t>
      </w:r>
      <w:proofErr w:type="gramStart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侧背景</w:t>
      </w:r>
      <w:proofErr w:type="gramEnd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下国有企业改革配套法律制度研究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10.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监察体制改革后检察机关法律监督权运行研究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11.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以抗诉为中心的刑事审判监督机制研究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12.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认罪认罚从宽制度研究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13.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国家考试舞弊刑法规制研究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14.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河南自贸区法律保障机制研究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15.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跨境电商的法律风险防控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——以中国（郑州）跨境电子商务综合试验区为背景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16.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员额制改革背景下民事二审庭审方式改革研究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17.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河南省知识产权服务业创新模式研究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lastRenderedPageBreak/>
        <w:t>18.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河南省专利保护条例修订研究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19.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公证与多元化纠纷化解机制研究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20.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公证化解金融风险问题研究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21.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绿色发展视阈下河南省低碳转型法治建设研究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22.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新形势下环保拆迁制度研究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23.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河南省房地产市场调控法治化研究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24.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农村食品安全问题研究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25.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郑州国家中心城市建设法治保障问题研究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26.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</w:r>
      <w:proofErr w:type="gramStart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营改增运行</w:t>
      </w:r>
      <w:proofErr w:type="gramEnd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效应评估分析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27.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我国未成年人预防被害认知能力实证研究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28.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律师办案质量控制及执业风险规避研究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29.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论法律援助值班律师在提高刑事辩护率中的作用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30.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反家庭暴力法实施情况调查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31.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监狱警察职业保障体系研究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32.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警务信息化背景下公安机关巡逻防控问题研究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33.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省级农信社改革法律问题研究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34.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河南省城市共享单车法律规制与保障研究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35.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化解基层矛盾纠纷的心理疏导机制研究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36.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民事电子证据法律问题研究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37.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河南省宗教活动场所管理问题研究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38.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南水北调中线工程生态补偿制度构建研究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39.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全面依法治国视野下的仲裁司法审查制度研究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lastRenderedPageBreak/>
        <w:t>40.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高校学生间纠纷多元化解决机制研究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41.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河南省</w:t>
      </w:r>
      <w:proofErr w:type="gramStart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失独家庭</w:t>
      </w:r>
      <w:proofErr w:type="gramEnd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扶助保障政策研究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42.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网络言论表达的法律规制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43.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网络消费监督和维</w:t>
      </w:r>
      <w:proofErr w:type="gramStart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权机制</w:t>
      </w:r>
      <w:proofErr w:type="gramEnd"/>
      <w:r w:rsidRPr="00956E91">
        <w:rPr>
          <w:rFonts w:ascii="仿宋_GB2312" w:hint="eastAsia"/>
          <w:b/>
          <w:color w:val="000000" w:themeColor="text1"/>
          <w:sz w:val="28"/>
          <w:szCs w:val="28"/>
        </w:rPr>
        <w:t>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44.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信访分类与规范化治理研究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45.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受贿罪疑难问题法律适用研究</w:t>
      </w:r>
    </w:p>
    <w:p w:rsidR="00421C4B" w:rsidRPr="00956E91" w:rsidRDefault="00421C4B" w:rsidP="00421C4B">
      <w:pPr>
        <w:pStyle w:val="1"/>
        <w:ind w:right="159" w:firstLineChars="500" w:firstLine="1274"/>
        <w:jc w:val="left"/>
        <w:rPr>
          <w:rFonts w:ascii="仿宋_GB2312"/>
          <w:b/>
          <w:color w:val="000000" w:themeColor="text1"/>
          <w:w w:val="90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w w:val="90"/>
          <w:sz w:val="28"/>
          <w:szCs w:val="28"/>
        </w:rPr>
        <w:t>——以《刑法修正案（九）》和两</w:t>
      </w:r>
      <w:proofErr w:type="gramStart"/>
      <w:r w:rsidRPr="00956E91">
        <w:rPr>
          <w:rFonts w:ascii="仿宋_GB2312" w:hint="eastAsia"/>
          <w:b/>
          <w:color w:val="000000" w:themeColor="text1"/>
          <w:w w:val="90"/>
          <w:sz w:val="28"/>
          <w:szCs w:val="28"/>
        </w:rPr>
        <w:t>高关于</w:t>
      </w:r>
      <w:proofErr w:type="gramEnd"/>
      <w:r w:rsidRPr="00956E91">
        <w:rPr>
          <w:rFonts w:ascii="仿宋_GB2312" w:hint="eastAsia"/>
          <w:b/>
          <w:color w:val="000000" w:themeColor="text1"/>
          <w:w w:val="90"/>
          <w:sz w:val="28"/>
          <w:szCs w:val="28"/>
        </w:rPr>
        <w:t>贪污贿赂司法解释为视角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46.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法科学生法律信仰问题研究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47.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为境外窃取、刺探、收买、非法提供国家秘密、情报案件立案追诉标准研究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48.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中华优秀传统文化在当代家事审判中的应用研究</w:t>
      </w:r>
    </w:p>
    <w:p w:rsidR="00421C4B" w:rsidRPr="00956E9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49.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司法鉴定大数据分析平台建设研究</w:t>
      </w:r>
    </w:p>
    <w:p w:rsidR="00421C4B" w:rsidRPr="00A219C1" w:rsidRDefault="00421C4B" w:rsidP="00421C4B">
      <w:pPr>
        <w:pStyle w:val="1"/>
        <w:ind w:right="159" w:firstLine="562"/>
        <w:jc w:val="left"/>
        <w:rPr>
          <w:rFonts w:ascii="仿宋_GB2312"/>
          <w:b/>
          <w:color w:val="000000" w:themeColor="text1"/>
          <w:sz w:val="28"/>
          <w:szCs w:val="28"/>
        </w:rPr>
      </w:pPr>
      <w:r w:rsidRPr="00956E91">
        <w:rPr>
          <w:rFonts w:ascii="仿宋_GB2312" w:hint="eastAsia"/>
          <w:b/>
          <w:color w:val="000000" w:themeColor="text1"/>
          <w:sz w:val="28"/>
          <w:szCs w:val="28"/>
        </w:rPr>
        <w:t>50.</w:t>
      </w:r>
      <w:r w:rsidRPr="00956E91">
        <w:rPr>
          <w:rFonts w:ascii="仿宋_GB2312" w:hint="eastAsia"/>
          <w:b/>
          <w:color w:val="000000" w:themeColor="text1"/>
          <w:sz w:val="28"/>
          <w:szCs w:val="28"/>
        </w:rPr>
        <w:tab/>
        <w:t>农地“三权分置”法律实施机制理论与实践</w:t>
      </w:r>
    </w:p>
    <w:p w:rsidR="00421C4B" w:rsidRDefault="00421C4B" w:rsidP="00421C4B">
      <w:pPr>
        <w:pStyle w:val="1"/>
        <w:spacing w:line="240" w:lineRule="exact"/>
        <w:ind w:right="159" w:firstLineChars="0" w:firstLine="0"/>
        <w:rPr>
          <w:rFonts w:ascii="仿宋_GB2312"/>
          <w:b/>
          <w:color w:val="000000" w:themeColor="text1"/>
          <w:szCs w:val="32"/>
        </w:rPr>
      </w:pPr>
    </w:p>
    <w:p w:rsidR="00816520" w:rsidRPr="00421C4B" w:rsidRDefault="00816520"/>
    <w:sectPr w:rsidR="00816520" w:rsidRPr="00421C4B" w:rsidSect="00816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C4B"/>
    <w:rsid w:val="00421C4B"/>
    <w:rsid w:val="0081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421C4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2017-05-02T09:21:00Z</dcterms:created>
  <dcterms:modified xsi:type="dcterms:W3CDTF">2017-05-02T09:21:00Z</dcterms:modified>
</cp:coreProperties>
</file>